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504F" w14:textId="7F2B2180" w:rsidR="0092532E" w:rsidRDefault="00F54DEF" w:rsidP="00B60C7E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-283"/>
        <w:jc w:val="center"/>
        <w:rPr>
          <w:iCs/>
        </w:rPr>
      </w:pPr>
      <w:r>
        <w:rPr>
          <w:iCs/>
        </w:rPr>
        <w:t>PREGÃO ELETRÔNICO Nº 054/2023</w:t>
      </w:r>
    </w:p>
    <w:p w14:paraId="277D97E6" w14:textId="52F691A8" w:rsidR="00F54DEF" w:rsidRDefault="00F54DEF" w:rsidP="00B60C7E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iCs/>
        </w:rPr>
      </w:pPr>
      <w:r>
        <w:rPr>
          <w:iCs/>
        </w:rPr>
        <w:t>Assunto: Resposta ao questionamento ao edital realizado pela empresa M1 TRANSPORTES SUSTENTÁVEIS LTDA.</w:t>
      </w:r>
    </w:p>
    <w:p w14:paraId="499DECFC" w14:textId="6FF32B5E" w:rsidR="00F54DEF" w:rsidRDefault="00F54DEF" w:rsidP="004D7361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iCs/>
        </w:rPr>
      </w:pPr>
      <w:r>
        <w:rPr>
          <w:iCs/>
        </w:rPr>
        <w:t>Prezados,</w:t>
      </w:r>
    </w:p>
    <w:p w14:paraId="65BDE4F4" w14:textId="5ED39A4D" w:rsidR="00F54DEF" w:rsidRDefault="00F54DEF" w:rsidP="00B60C7E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both"/>
        <w:rPr>
          <w:iCs/>
        </w:rPr>
      </w:pPr>
      <w:r>
        <w:rPr>
          <w:iCs/>
        </w:rPr>
        <w:t>Tendo em vista os questionamentos realizados acerca do Lote 01 do Pregão Eletrônico 054/2023, que trata da contratação de Sistema de Bicicletas Compartilhadas, encaminhamos os devidos esclarecimentos:</w:t>
      </w:r>
    </w:p>
    <w:p w14:paraId="7E3A394E" w14:textId="4878A283" w:rsidR="00F54DEF" w:rsidRPr="001A2710" w:rsidRDefault="00F54DEF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418" w:hanging="851"/>
        <w:jc w:val="both"/>
        <w:rPr>
          <w:iCs/>
        </w:rPr>
      </w:pPr>
      <w:r w:rsidRPr="001A2710">
        <w:rPr>
          <w:iCs/>
        </w:rPr>
        <w:t>Está correto o entendimento.</w:t>
      </w:r>
    </w:p>
    <w:p w14:paraId="3D979EC6" w14:textId="4A70195E" w:rsidR="00F54DEF" w:rsidRPr="001A2710" w:rsidRDefault="00F54DEF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418" w:hanging="851"/>
        <w:jc w:val="both"/>
        <w:rPr>
          <w:iCs/>
        </w:rPr>
      </w:pPr>
      <w:r w:rsidRPr="001A2710">
        <w:rPr>
          <w:iCs/>
        </w:rPr>
        <w:t xml:space="preserve">Está correto o entendimento de que o prazo de vigência do contrato será de 33 (trinta e três meses), contados a partir da publicação da ordem de início no diário oficial do município. Para fins de clareza, será publicada errata </w:t>
      </w:r>
      <w:r w:rsidR="001A2710" w:rsidRPr="001A2710">
        <w:rPr>
          <w:iCs/>
        </w:rPr>
        <w:t>unificando os prazos.</w:t>
      </w:r>
    </w:p>
    <w:p w14:paraId="067AD476" w14:textId="28003AEA" w:rsidR="001A2710" w:rsidRDefault="001A2710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418" w:hanging="851"/>
        <w:jc w:val="both"/>
        <w:rPr>
          <w:iCs/>
        </w:rPr>
      </w:pPr>
      <w:r w:rsidRPr="001A2710">
        <w:rPr>
          <w:iCs/>
        </w:rPr>
        <w:t>Há imprecisão na abrangência da redação, sem prejuízo à compreensão dos termos do edital</w:t>
      </w:r>
    </w:p>
    <w:p w14:paraId="38F3C4B1" w14:textId="78E44058" w:rsidR="001A2710" w:rsidRDefault="001A2710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418" w:hanging="851"/>
        <w:jc w:val="both"/>
        <w:rPr>
          <w:iCs/>
        </w:rPr>
      </w:pPr>
      <w:r>
        <w:rPr>
          <w:iCs/>
        </w:rPr>
        <w:t>Está correto o entendimento.</w:t>
      </w:r>
    </w:p>
    <w:p w14:paraId="04724237" w14:textId="6591353B" w:rsidR="001A2710" w:rsidRPr="004D7361" w:rsidRDefault="003B0CE1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418" w:hanging="851"/>
        <w:jc w:val="both"/>
        <w:rPr>
          <w:iCs/>
        </w:rPr>
      </w:pPr>
      <w:r w:rsidRPr="004D7361">
        <w:rPr>
          <w:iCs/>
        </w:rPr>
        <w:t>Tendo em vista que não estão definidos nos estudos técnicos os valores considerados inexequíveis, caso se aplique, a aceitabilidade da proposta será realizada após a etapa competitiva do certame, à exceção de casos extremos como a apresentação de preços simbólicos, irrisórios ou de valor zero, nos termos do Acórdão TCU 674/2020 Plenário.</w:t>
      </w:r>
    </w:p>
    <w:p w14:paraId="4BB6FE18" w14:textId="021D1A6B" w:rsidR="003B0CE1" w:rsidRPr="003B0CE1" w:rsidRDefault="003B0CE1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418" w:hanging="851"/>
        <w:jc w:val="both"/>
        <w:rPr>
          <w:iCs/>
          <w:color w:val="FF0000"/>
        </w:rPr>
      </w:pPr>
      <w:r>
        <w:rPr>
          <w:iCs/>
        </w:rPr>
        <w:t>Não procede o entendimento.</w:t>
      </w:r>
    </w:p>
    <w:p w14:paraId="438F1D3B" w14:textId="28BB4CD5" w:rsidR="003B0CE1" w:rsidRPr="003B0CE1" w:rsidRDefault="003B0CE1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418" w:hanging="851"/>
        <w:jc w:val="both"/>
        <w:rPr>
          <w:iCs/>
          <w:color w:val="FF0000"/>
        </w:rPr>
      </w:pPr>
      <w:r>
        <w:rPr>
          <w:iCs/>
        </w:rPr>
        <w:t>Não procede o entendimento.</w:t>
      </w:r>
    </w:p>
    <w:p w14:paraId="12BC35CF" w14:textId="6F8386D1" w:rsidR="003B0CE1" w:rsidRPr="003B0CE1" w:rsidRDefault="003B0CE1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418" w:hanging="851"/>
        <w:jc w:val="both"/>
        <w:rPr>
          <w:iCs/>
          <w:color w:val="FF0000"/>
        </w:rPr>
      </w:pPr>
      <w:r>
        <w:rPr>
          <w:iCs/>
        </w:rPr>
        <w:lastRenderedPageBreak/>
        <w:t>Está correto o entendimento, restando clara e inequívoca a redação corrente do edital.</w:t>
      </w:r>
    </w:p>
    <w:p w14:paraId="151FD926" w14:textId="555ED875" w:rsidR="003B0CE1" w:rsidRPr="003B0CE1" w:rsidRDefault="003B0CE1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418" w:hanging="851"/>
        <w:jc w:val="both"/>
        <w:rPr>
          <w:iCs/>
          <w:color w:val="FF0000"/>
        </w:rPr>
      </w:pPr>
      <w:r>
        <w:rPr>
          <w:iCs/>
        </w:rPr>
        <w:t>Tendo em vista que a implantação e operação de bicicletas elétricas não compõem o quadro de exigências obrigatórias do serviço que será contratado, não procede o entendimento.</w:t>
      </w:r>
    </w:p>
    <w:p w14:paraId="2CA21383" w14:textId="3991BF30" w:rsidR="003B0CE1" w:rsidRPr="009325F6" w:rsidRDefault="009325F6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418" w:hanging="284"/>
        <w:jc w:val="both"/>
        <w:rPr>
          <w:iCs/>
          <w:color w:val="FF0000"/>
        </w:rPr>
      </w:pPr>
      <w:r>
        <w:rPr>
          <w:iCs/>
        </w:rPr>
        <w:t>Está correto o entendimento.</w:t>
      </w:r>
    </w:p>
    <w:p w14:paraId="37F7FC89" w14:textId="346BACF8" w:rsidR="009325F6" w:rsidRPr="009325F6" w:rsidRDefault="009325F6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418" w:hanging="284"/>
        <w:jc w:val="both"/>
        <w:rPr>
          <w:iCs/>
          <w:color w:val="FF0000"/>
        </w:rPr>
      </w:pPr>
      <w:r>
        <w:rPr>
          <w:iCs/>
        </w:rPr>
        <w:t>Está correto o entendimento.</w:t>
      </w:r>
    </w:p>
    <w:p w14:paraId="5FB34F44" w14:textId="57F73F9F" w:rsidR="009325F6" w:rsidRPr="009325F6" w:rsidRDefault="009325F6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560" w:hanging="426"/>
        <w:jc w:val="both"/>
        <w:rPr>
          <w:iCs/>
          <w:color w:val="FF0000"/>
        </w:rPr>
      </w:pPr>
      <w:r>
        <w:rPr>
          <w:iCs/>
        </w:rPr>
        <w:t xml:space="preserve">Todos os custos citados devem estar contemplados na proposta de preços da licitante, não cabendo, na presente modelagem, duplicidade de receitas. </w:t>
      </w:r>
    </w:p>
    <w:p w14:paraId="2B7B4F00" w14:textId="503D136F" w:rsidR="009325F6" w:rsidRPr="009325F6" w:rsidRDefault="009325F6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560" w:hanging="426"/>
        <w:jc w:val="both"/>
        <w:rPr>
          <w:iCs/>
          <w:color w:val="FF0000"/>
        </w:rPr>
      </w:pPr>
      <w:r>
        <w:rPr>
          <w:iCs/>
        </w:rPr>
        <w:t>Está correto o entendimento.</w:t>
      </w:r>
    </w:p>
    <w:p w14:paraId="1B1D5D8F" w14:textId="78145C88" w:rsidR="009325F6" w:rsidRPr="000A404F" w:rsidRDefault="000A404F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560" w:hanging="426"/>
        <w:jc w:val="both"/>
        <w:rPr>
          <w:iCs/>
          <w:color w:val="FF0000"/>
        </w:rPr>
      </w:pPr>
      <w:r>
        <w:rPr>
          <w:iCs/>
        </w:rPr>
        <w:t>Não está claro o trecho no qual é questionado: “...Com a premissa de que cada estação engloba cerca de 10% do quantitativo total de bicicletas.”. Os demais entendimentos estão corretos.</w:t>
      </w:r>
    </w:p>
    <w:p w14:paraId="5E229063" w14:textId="05431E99" w:rsidR="000A404F" w:rsidRPr="000A404F" w:rsidRDefault="000A404F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560" w:hanging="426"/>
        <w:jc w:val="both"/>
        <w:rPr>
          <w:iCs/>
          <w:color w:val="FF0000"/>
        </w:rPr>
      </w:pPr>
      <w:r>
        <w:rPr>
          <w:iCs/>
        </w:rPr>
        <w:t>O entendimento está correto.</w:t>
      </w:r>
    </w:p>
    <w:p w14:paraId="52D5EF93" w14:textId="680887A0" w:rsidR="000A404F" w:rsidRPr="000A404F" w:rsidRDefault="000A404F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560" w:hanging="426"/>
        <w:jc w:val="both"/>
        <w:rPr>
          <w:iCs/>
          <w:color w:val="FF0000"/>
        </w:rPr>
      </w:pPr>
      <w:r>
        <w:rPr>
          <w:iCs/>
        </w:rPr>
        <w:t>Não procede o entendimento. A instalação e operação de câmeras de videomonitoramento é um serviço comum e prontamente disponível, sem qualquer caráter de exclusividade na prestação. Em contrapartida, consideramos que a instalação de câmeras amplia as condições de segurança pública para o usuário do sistema enquanto realiza a retirada ou devolução da bicicleta, momentos particularmente vulneráveis.</w:t>
      </w:r>
      <w:r w:rsidR="002045F0">
        <w:rPr>
          <w:iCs/>
        </w:rPr>
        <w:t xml:space="preserve"> Menciona-se ainda, a exigência de integração com o Centro Integrado de Segurança Pública que terá condições de atuar em tempo real em caso de necessidade.</w:t>
      </w:r>
    </w:p>
    <w:p w14:paraId="341F2386" w14:textId="0FA3D530" w:rsidR="000A404F" w:rsidRPr="004D4624" w:rsidRDefault="004D4624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560" w:hanging="426"/>
        <w:jc w:val="both"/>
        <w:rPr>
          <w:iCs/>
          <w:color w:val="FF0000"/>
        </w:rPr>
      </w:pPr>
      <w:r>
        <w:rPr>
          <w:iCs/>
        </w:rPr>
        <w:t>Os itens:</w:t>
      </w:r>
    </w:p>
    <w:p w14:paraId="0E6F594D" w14:textId="70C47943" w:rsidR="004D4624" w:rsidRDefault="004D4624" w:rsidP="00B60C7E">
      <w:pPr>
        <w:pStyle w:val="Pargrafoda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701" w:hanging="294"/>
        <w:jc w:val="both"/>
        <w:rPr>
          <w:iCs/>
        </w:rPr>
      </w:pPr>
      <w:r w:rsidRPr="004D4624">
        <w:rPr>
          <w:iCs/>
        </w:rPr>
        <w:lastRenderedPageBreak/>
        <w:t>Não pr</w:t>
      </w:r>
      <w:r>
        <w:rPr>
          <w:iCs/>
        </w:rPr>
        <w:t>ocede o entendimento. O peso das bicicletas está vinculado à experiência do usuário e acessibilidade do sistema, por este motivo fica mantida a limitação. No caso da incorporação de bicicletas elétricas ou de avanços tecnológicos significativos, este critério poderá ser objeto de reavaliação, desde que devidamente justificado.</w:t>
      </w:r>
    </w:p>
    <w:p w14:paraId="616E49D7" w14:textId="75295474" w:rsidR="004D4624" w:rsidRDefault="004D4624" w:rsidP="00B60C7E">
      <w:pPr>
        <w:pStyle w:val="Pargrafoda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701" w:hanging="294"/>
        <w:jc w:val="both"/>
        <w:rPr>
          <w:iCs/>
        </w:rPr>
      </w:pPr>
      <w:r>
        <w:rPr>
          <w:iCs/>
        </w:rPr>
        <w:t>Procede o entendimento.</w:t>
      </w:r>
    </w:p>
    <w:p w14:paraId="250105E4" w14:textId="25596AAD" w:rsidR="004D4624" w:rsidRDefault="004D4624" w:rsidP="00B60C7E">
      <w:pPr>
        <w:pStyle w:val="Pargrafoda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701" w:hanging="294"/>
        <w:jc w:val="both"/>
        <w:rPr>
          <w:iCs/>
        </w:rPr>
      </w:pPr>
      <w:r>
        <w:rPr>
          <w:iCs/>
        </w:rPr>
        <w:t>Não procede o entendimento.</w:t>
      </w:r>
    </w:p>
    <w:p w14:paraId="217FAE81" w14:textId="03D1AB77" w:rsidR="004D4624" w:rsidRDefault="004D4624" w:rsidP="00B60C7E">
      <w:pPr>
        <w:pStyle w:val="Pargrafoda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701" w:hanging="294"/>
        <w:jc w:val="both"/>
        <w:rPr>
          <w:iCs/>
        </w:rPr>
      </w:pPr>
      <w:r>
        <w:rPr>
          <w:iCs/>
        </w:rPr>
        <w:t>Não procede o entendimento, visto tratar-se de matéria ainda em fase de revisão pelos órgãos competentes.</w:t>
      </w:r>
    </w:p>
    <w:p w14:paraId="289B0312" w14:textId="1A465DCA" w:rsidR="004D4624" w:rsidRDefault="004D4624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firstLine="774"/>
        <w:jc w:val="both"/>
        <w:rPr>
          <w:iCs/>
        </w:rPr>
      </w:pPr>
      <w:r>
        <w:rPr>
          <w:iCs/>
        </w:rPr>
        <w:t>Está correto o entendimento.</w:t>
      </w:r>
    </w:p>
    <w:p w14:paraId="5222EADA" w14:textId="65D678E1" w:rsidR="004D4624" w:rsidRDefault="004D4624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firstLine="774"/>
        <w:jc w:val="both"/>
        <w:rPr>
          <w:iCs/>
        </w:rPr>
      </w:pPr>
      <w:r>
        <w:rPr>
          <w:iCs/>
        </w:rPr>
        <w:t>Está correto o entendimento.</w:t>
      </w:r>
    </w:p>
    <w:p w14:paraId="39C65679" w14:textId="780FBBE3" w:rsidR="004D4624" w:rsidRDefault="004D4624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Não está procede o entendimento</w:t>
      </w:r>
      <w:r w:rsidR="002045F0">
        <w:rPr>
          <w:iCs/>
        </w:rPr>
        <w:t>. As características das bicicletas infantis foram definidas para abranger a mais ampla gama de usuários, neste sentido, optou-se pelo aro 16, considerado intermediário, e pela disponibilização de rodinhas retráteis.</w:t>
      </w:r>
    </w:p>
    <w:p w14:paraId="5C7F2EC9" w14:textId="527EB50D" w:rsidR="002045F0" w:rsidRDefault="002045F0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 xml:space="preserve">O </w:t>
      </w:r>
      <w:proofErr w:type="spellStart"/>
      <w:r>
        <w:rPr>
          <w:iCs/>
        </w:rPr>
        <w:t>QRCode</w:t>
      </w:r>
      <w:proofErr w:type="spellEnd"/>
      <w:r>
        <w:rPr>
          <w:iCs/>
        </w:rPr>
        <w:t xml:space="preserve"> não substitui integralmente, na visão deste órgão, as informações a serem disponibilizadas no tótem, podendo ter caráter complementar.</w:t>
      </w:r>
    </w:p>
    <w:p w14:paraId="4D9CB540" w14:textId="4D32E8AE" w:rsidR="002045F0" w:rsidRDefault="002045F0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Não procede o entendimento, conforme discorrido na questão 16.</w:t>
      </w:r>
    </w:p>
    <w:p w14:paraId="0A1F7FB5" w14:textId="43EE4815" w:rsidR="002045F0" w:rsidRDefault="002045F0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Não procede o entendimento, conforme discorrido na questão 16.</w:t>
      </w:r>
    </w:p>
    <w:p w14:paraId="483DC151" w14:textId="3CC19DAE" w:rsidR="002045F0" w:rsidRDefault="002045F0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Está correto o entendimento.</w:t>
      </w:r>
    </w:p>
    <w:p w14:paraId="053D3A32" w14:textId="5B8CE01D" w:rsidR="002045F0" w:rsidRDefault="00B301FB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 xml:space="preserve">A solicitação de remanejamento de estações será realizada adotando critérios estritamente técnicos e que visem a maximização da performance do sistema. Tendo em vista que </w:t>
      </w:r>
      <w:proofErr w:type="gramStart"/>
      <w:r>
        <w:rPr>
          <w:iCs/>
        </w:rPr>
        <w:t>o prazo de 20 dias não incluem</w:t>
      </w:r>
      <w:proofErr w:type="gramEnd"/>
      <w:r>
        <w:rPr>
          <w:iCs/>
        </w:rPr>
        <w:t xml:space="preserve"> os serviços de projeto, vistoria e licenciamento (mencionados na questão), </w:t>
      </w:r>
      <w:r>
        <w:rPr>
          <w:iCs/>
        </w:rPr>
        <w:lastRenderedPageBreak/>
        <w:t>que deverão ser realizadas à priori e de forma conjunta, consideramos que o prazo é adequado.</w:t>
      </w:r>
    </w:p>
    <w:p w14:paraId="55EE0BEE" w14:textId="4334472C" w:rsidR="00B301FB" w:rsidRDefault="00B301FB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Está correto o entendimento.</w:t>
      </w:r>
    </w:p>
    <w:p w14:paraId="64E424B3" w14:textId="77777777" w:rsidR="00AF7C81" w:rsidRDefault="00B301FB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 xml:space="preserve">As funcionalidades de Face </w:t>
      </w:r>
      <w:proofErr w:type="spellStart"/>
      <w:r>
        <w:rPr>
          <w:iCs/>
        </w:rPr>
        <w:t>Matching</w:t>
      </w:r>
      <w:proofErr w:type="spellEnd"/>
      <w:r>
        <w:rPr>
          <w:iCs/>
        </w:rPr>
        <w:t xml:space="preserve"> </w:t>
      </w:r>
      <w:r w:rsidR="00AF7C81">
        <w:rPr>
          <w:iCs/>
        </w:rPr>
        <w:t>serão</w:t>
      </w:r>
      <w:r>
        <w:rPr>
          <w:iCs/>
        </w:rPr>
        <w:t xml:space="preserve"> alternativas ao cadastro presencial do usuário que não dispor de cartão de crédito</w:t>
      </w:r>
      <w:r w:rsidR="00AF7C81">
        <w:rPr>
          <w:iCs/>
        </w:rPr>
        <w:t xml:space="preserve">. Desde que o atendimento a este perfil de usuário não reste prejudicado, estão </w:t>
      </w:r>
      <w:proofErr w:type="gramStart"/>
      <w:r w:rsidR="00AF7C81">
        <w:rPr>
          <w:iCs/>
        </w:rPr>
        <w:t>correto</w:t>
      </w:r>
      <w:proofErr w:type="gramEnd"/>
      <w:r w:rsidR="00AF7C81">
        <w:rPr>
          <w:iCs/>
        </w:rPr>
        <w:t xml:space="preserve"> o entendimento.</w:t>
      </w:r>
    </w:p>
    <w:p w14:paraId="69F200A5" w14:textId="77777777" w:rsidR="00AF7C81" w:rsidRDefault="00AF7C81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Está correto o entendimento.</w:t>
      </w:r>
    </w:p>
    <w:p w14:paraId="15C3FBAE" w14:textId="41B32B60" w:rsidR="00AF7C81" w:rsidRDefault="00AF7C81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Está correto o entendimento.</w:t>
      </w:r>
    </w:p>
    <w:p w14:paraId="6790A291" w14:textId="271A148B" w:rsidR="00AF7C81" w:rsidRDefault="00B301FB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 xml:space="preserve"> </w:t>
      </w:r>
      <w:r w:rsidR="00AF7C81">
        <w:rPr>
          <w:iCs/>
        </w:rPr>
        <w:t>Está correto o entendimento. Deverão ser tomadas medidas de anonimização dos dados compartilhados, sem prejuízo à visualização da íntegra dos movimentos operacionais do sistema.</w:t>
      </w:r>
    </w:p>
    <w:p w14:paraId="2ADDAC4A" w14:textId="5CE3FF6A" w:rsidR="00B301FB" w:rsidRDefault="00AF7C81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 xml:space="preserve"> Está correto o entendimento, uma vez aplicado </w:t>
      </w:r>
      <w:proofErr w:type="gramStart"/>
      <w:r>
        <w:rPr>
          <w:iCs/>
        </w:rPr>
        <w:t>à</w:t>
      </w:r>
      <w:proofErr w:type="gramEnd"/>
      <w:r>
        <w:rPr>
          <w:iCs/>
        </w:rPr>
        <w:t xml:space="preserve"> estações adicionais patrocinadas.</w:t>
      </w:r>
    </w:p>
    <w:p w14:paraId="3B2331BB" w14:textId="4318014E" w:rsidR="00AF7C81" w:rsidRDefault="00AF7C81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Itens:</w:t>
      </w:r>
    </w:p>
    <w:p w14:paraId="3E236E9B" w14:textId="144AD77E" w:rsidR="00AF7C81" w:rsidRDefault="00AF7C81" w:rsidP="00B60C7E">
      <w:pPr>
        <w:pStyle w:val="Pargrafoda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2552" w:hanging="284"/>
        <w:jc w:val="both"/>
        <w:rPr>
          <w:iCs/>
        </w:rPr>
      </w:pPr>
      <w:r>
        <w:rPr>
          <w:iCs/>
        </w:rPr>
        <w:t xml:space="preserve">Considerando </w:t>
      </w:r>
      <w:r w:rsidR="00803EB8">
        <w:rPr>
          <w:iCs/>
        </w:rPr>
        <w:t>tratar-se de serviço público, o uso não poderá restar condicionado à posse de cartão de crédito ou caução. A contratada deverá dispor de meios alternativos para identificação e responsabilização do usuário em caso de furto.</w:t>
      </w:r>
    </w:p>
    <w:p w14:paraId="3E117A16" w14:textId="65785849" w:rsidR="00803EB8" w:rsidRDefault="00803EB8" w:rsidP="00B60C7E">
      <w:pPr>
        <w:pStyle w:val="Pargrafoda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2552" w:hanging="284"/>
        <w:jc w:val="both"/>
        <w:rPr>
          <w:iCs/>
        </w:rPr>
      </w:pPr>
      <w:r>
        <w:rPr>
          <w:iCs/>
        </w:rPr>
        <w:t>Está correto o entendimento.</w:t>
      </w:r>
    </w:p>
    <w:p w14:paraId="2C8297CB" w14:textId="27DF6C71" w:rsidR="00803EB8" w:rsidRDefault="00803EB8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firstLine="774"/>
        <w:jc w:val="both"/>
        <w:rPr>
          <w:iCs/>
        </w:rPr>
      </w:pPr>
      <w:r>
        <w:rPr>
          <w:iCs/>
        </w:rPr>
        <w:t xml:space="preserve">Idem questão 32. </w:t>
      </w:r>
    </w:p>
    <w:p w14:paraId="31D35ECD" w14:textId="3D1BB762" w:rsidR="00803EB8" w:rsidRDefault="00803EB8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Está correto o entendimento desde que o sistema ofereça o download direto, tratado e sistematizado dos dados necessários para a fiscalização dos níveis de serviço.</w:t>
      </w:r>
    </w:p>
    <w:p w14:paraId="03C83AEF" w14:textId="15ED7633" w:rsidR="00803EB8" w:rsidRDefault="00803EB8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lastRenderedPageBreak/>
        <w:t>Está correto o entendimento, desde que comprovados os fatos geradores e a ausência de dolo ou responsabilidade da contratada.</w:t>
      </w:r>
    </w:p>
    <w:p w14:paraId="240AE7E0" w14:textId="7924BFC5" w:rsidR="00803EB8" w:rsidRDefault="00803EB8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O canal de comunicação com a fiscalização será definido ao longo dos procedimentos de nomeação da comissão fiscalizadora, em momento anterior à ordem de início do contrato. Procede, no entanto, a informação referente ao prazo para apresentação do projeto das estações e bicicletas.</w:t>
      </w:r>
    </w:p>
    <w:p w14:paraId="09E6F75A" w14:textId="69561958" w:rsidR="00803EB8" w:rsidRDefault="00803EB8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Está correto o entendimento.</w:t>
      </w:r>
    </w:p>
    <w:p w14:paraId="4163EA90" w14:textId="2477ADDC" w:rsidR="00803EB8" w:rsidRDefault="00803EB8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Está correto o entendimento.</w:t>
      </w:r>
    </w:p>
    <w:p w14:paraId="5266077C" w14:textId="058E67AA" w:rsidR="00803EB8" w:rsidRDefault="00803EB8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Está correto o entendimento.</w:t>
      </w:r>
    </w:p>
    <w:p w14:paraId="7CAC8E3F" w14:textId="20DF86F6" w:rsidR="00803EB8" w:rsidRDefault="00803EB8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 xml:space="preserve">A opção pelo presente modelo de contratação resta plenamente justificada e embasada </w:t>
      </w:r>
      <w:r w:rsidR="00F21061">
        <w:rPr>
          <w:iCs/>
        </w:rPr>
        <w:t>pelo</w:t>
      </w:r>
      <w:r>
        <w:rPr>
          <w:iCs/>
        </w:rPr>
        <w:t xml:space="preserve"> Processo Administrativo que deu origem à presente licitação, não restando dúvidas quanto à viabilidade econômico-financeira.</w:t>
      </w:r>
    </w:p>
    <w:p w14:paraId="1BFC6EA9" w14:textId="195F33E2" w:rsidR="00803EB8" w:rsidRDefault="00F21061" w:rsidP="00B60C7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 w:hanging="709"/>
        <w:jc w:val="both"/>
        <w:rPr>
          <w:iCs/>
        </w:rPr>
      </w:pPr>
      <w:r>
        <w:rPr>
          <w:iCs/>
        </w:rPr>
        <w:t>A caracterização do objeto enquanto serviço comum resta plenamente justificada e embasada e justificada pelo Processo Administrativo que deu origem à presente licitação. Notadamente, destaca-se a riqueza de parâmetros com o qual o Termo de Referência define o objeto e a adequada presença de padrões de desempenho e qualidade neste documento, todos os quais corroboram o entendimento deste como serviço comum.</w:t>
      </w:r>
    </w:p>
    <w:p w14:paraId="335F6DF5" w14:textId="756E77E4" w:rsidR="00F21061" w:rsidRDefault="00F21061" w:rsidP="00B60C7E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843"/>
        <w:jc w:val="both"/>
        <w:rPr>
          <w:iCs/>
        </w:rPr>
      </w:pPr>
      <w:r>
        <w:rPr>
          <w:iCs/>
        </w:rPr>
        <w:t>Destacamos ainda que um modelo semelhante ao credenciamento (autorização) já foi objeto de tentativa em Niterói através da Concorrência Pública Nº 005/2019, a qual não obteve interessados, justificado, a posteriori, pela dificuldade de captação de receitas de patrocínio no mercado. Tal fato se manteve declaradamente até o mês de setembro de 2022, quando houve manifestação formal das operadores.</w:t>
      </w:r>
    </w:p>
    <w:p w14:paraId="1A5E198E" w14:textId="3481036F" w:rsidR="0092532E" w:rsidRDefault="00B60C7E" w:rsidP="00B60C7E">
      <w:pPr>
        <w:tabs>
          <w:tab w:val="left" w:pos="709"/>
        </w:tabs>
        <w:spacing w:line="480" w:lineRule="auto"/>
        <w:ind w:left="426"/>
        <w:rPr>
          <w:b/>
        </w:rPr>
      </w:pPr>
      <w:r>
        <w:rPr>
          <w:b/>
        </w:rPr>
        <w:lastRenderedPageBreak/>
        <w:t>João Pedro Boechat</w:t>
      </w:r>
    </w:p>
    <w:p w14:paraId="270712FC" w14:textId="64D3187A" w:rsidR="0092532E" w:rsidRDefault="00B60C7E" w:rsidP="00B60C7E">
      <w:pPr>
        <w:tabs>
          <w:tab w:val="left" w:pos="709"/>
        </w:tabs>
        <w:spacing w:line="480" w:lineRule="auto"/>
        <w:ind w:left="426"/>
      </w:pPr>
      <w:r>
        <w:t>Diretor de Infraestrutura Cicloviária</w:t>
      </w:r>
    </w:p>
    <w:p w14:paraId="55702271" w14:textId="77777777" w:rsidR="0092532E" w:rsidRDefault="004D7361" w:rsidP="00B60C7E">
      <w:pPr>
        <w:tabs>
          <w:tab w:val="left" w:pos="709"/>
        </w:tabs>
        <w:spacing w:line="480" w:lineRule="auto"/>
        <w:ind w:left="426"/>
      </w:pPr>
      <w:r>
        <w:t xml:space="preserve">Coordenadoria Niterói de Bicicleta </w:t>
      </w:r>
    </w:p>
    <w:p w14:paraId="49E61B2C" w14:textId="77777777" w:rsidR="0092532E" w:rsidRDefault="0092532E" w:rsidP="00B60C7E">
      <w:pPr>
        <w:tabs>
          <w:tab w:val="left" w:pos="709"/>
        </w:tabs>
        <w:spacing w:line="480" w:lineRule="auto"/>
        <w:ind w:left="426"/>
      </w:pPr>
    </w:p>
    <w:p w14:paraId="1BAD43D3" w14:textId="77777777" w:rsidR="0092532E" w:rsidRDefault="0092532E" w:rsidP="00B60C7E">
      <w:pPr>
        <w:tabs>
          <w:tab w:val="left" w:pos="709"/>
        </w:tabs>
        <w:spacing w:line="480" w:lineRule="auto"/>
        <w:ind w:left="-283"/>
        <w:jc w:val="center"/>
      </w:pPr>
    </w:p>
    <w:p w14:paraId="610FAB26" w14:textId="77777777" w:rsidR="0092532E" w:rsidRDefault="004D7361" w:rsidP="00B60C7E">
      <w:pPr>
        <w:tabs>
          <w:tab w:val="left" w:pos="709"/>
        </w:tabs>
        <w:spacing w:line="480" w:lineRule="auto"/>
        <w:ind w:left="-283"/>
        <w:jc w:val="center"/>
        <w:rPr>
          <w:b/>
        </w:rPr>
      </w:pPr>
      <w:r>
        <w:rPr>
          <w:b/>
        </w:rPr>
        <w:t xml:space="preserve"> </w:t>
      </w:r>
    </w:p>
    <w:p w14:paraId="3125C52B" w14:textId="77777777" w:rsidR="0092532E" w:rsidRDefault="0092532E" w:rsidP="00B60C7E">
      <w:pPr>
        <w:tabs>
          <w:tab w:val="left" w:pos="709"/>
        </w:tabs>
        <w:spacing w:line="480" w:lineRule="auto"/>
        <w:ind w:left="-283"/>
        <w:jc w:val="center"/>
      </w:pPr>
    </w:p>
    <w:sectPr w:rsidR="00925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87" w:right="1287" w:bottom="902" w:left="1418" w:header="36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5EA1" w14:textId="77777777" w:rsidR="00EE716B" w:rsidRDefault="00EE716B">
      <w:r>
        <w:separator/>
      </w:r>
    </w:p>
  </w:endnote>
  <w:endnote w:type="continuationSeparator" w:id="0">
    <w:p w14:paraId="0571F67D" w14:textId="77777777" w:rsidR="00EE716B" w:rsidRDefault="00EE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9745" w14:textId="77777777" w:rsidR="0092532E" w:rsidRDefault="009253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87B1" w14:textId="77777777" w:rsidR="0092532E" w:rsidRDefault="009253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CC69" w14:textId="77777777" w:rsidR="0092532E" w:rsidRDefault="009253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BB9E" w14:textId="77777777" w:rsidR="00EE716B" w:rsidRDefault="00EE716B">
      <w:r>
        <w:separator/>
      </w:r>
    </w:p>
  </w:footnote>
  <w:footnote w:type="continuationSeparator" w:id="0">
    <w:p w14:paraId="086FE378" w14:textId="77777777" w:rsidR="00EE716B" w:rsidRDefault="00EE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FBB0" w14:textId="77777777" w:rsidR="0092532E" w:rsidRDefault="009253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9DAF" w14:textId="3CF9F87C" w:rsidR="0092532E" w:rsidRDefault="009253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  <w:szCs w:val="16"/>
      </w:rPr>
    </w:pPr>
  </w:p>
  <w:p w14:paraId="055D111A" w14:textId="5CBE78CC" w:rsidR="0092532E" w:rsidRDefault="00F54D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9A43982" wp14:editId="4AFE66BF">
          <wp:simplePos x="0" y="0"/>
          <wp:positionH relativeFrom="column">
            <wp:posOffset>-507365</wp:posOffset>
          </wp:positionH>
          <wp:positionV relativeFrom="paragraph">
            <wp:posOffset>81280</wp:posOffset>
          </wp:positionV>
          <wp:extent cx="2040533" cy="538163"/>
          <wp:effectExtent l="0" t="0" r="0" b="0"/>
          <wp:wrapNone/>
          <wp:docPr id="1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1"/>
                  <a:srcRect t="28071" b="24771"/>
                  <a:stretch>
                    <a:fillRect/>
                  </a:stretch>
                </pic:blipFill>
                <pic:spPr>
                  <a:xfrm>
                    <a:off x="0" y="0"/>
                    <a:ext cx="2040533" cy="53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65D3B5" w14:textId="555C9B4D" w:rsidR="0092532E" w:rsidRDefault="00F54D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C2100F0" wp14:editId="221B71AD">
          <wp:simplePos x="0" y="0"/>
          <wp:positionH relativeFrom="margin">
            <wp:align>right</wp:align>
          </wp:positionH>
          <wp:positionV relativeFrom="paragraph">
            <wp:posOffset>58420</wp:posOffset>
          </wp:positionV>
          <wp:extent cx="1446530" cy="421005"/>
          <wp:effectExtent l="0" t="0" r="1270" b="0"/>
          <wp:wrapSquare wrapText="bothSides" distT="114300" distB="114300" distL="114300" distR="114300"/>
          <wp:docPr id="2" name="image2.png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ntendo Logotip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53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7A89D" w14:textId="77777777" w:rsidR="0092532E" w:rsidRDefault="009253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  <w:szCs w:val="16"/>
      </w:rPr>
    </w:pPr>
  </w:p>
  <w:p w14:paraId="208C4B0E" w14:textId="77777777" w:rsidR="0092532E" w:rsidRDefault="009253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color w:val="000000"/>
        <w:sz w:val="16"/>
        <w:szCs w:val="16"/>
      </w:rPr>
    </w:pPr>
  </w:p>
  <w:p w14:paraId="41281E85" w14:textId="77777777" w:rsidR="0092532E" w:rsidRDefault="009253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F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5A25" w14:textId="77777777" w:rsidR="0092532E" w:rsidRDefault="009253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A36"/>
    <w:multiLevelType w:val="multilevel"/>
    <w:tmpl w:val="E85E1014"/>
    <w:lvl w:ilvl="0">
      <w:start w:val="1"/>
      <w:numFmt w:val="decimal"/>
      <w:lvlText w:val="QUESTÃO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677268"/>
    <w:multiLevelType w:val="multilevel"/>
    <w:tmpl w:val="08F87D82"/>
    <w:lvl w:ilvl="0">
      <w:start w:val="1"/>
      <w:numFmt w:val="decimal"/>
      <w:lvlText w:val="QUESTÃO %1 – 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7F41E0A"/>
    <w:multiLevelType w:val="multilevel"/>
    <w:tmpl w:val="D4E4A96A"/>
    <w:lvl w:ilvl="0">
      <w:start w:val="1"/>
      <w:numFmt w:val="decimal"/>
      <w:lvlText w:val="QUESTÃO %1 –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49F3D7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2675147">
    <w:abstractNumId w:val="3"/>
  </w:num>
  <w:num w:numId="2" w16cid:durableId="271476475">
    <w:abstractNumId w:val="0"/>
  </w:num>
  <w:num w:numId="3" w16cid:durableId="1845779440">
    <w:abstractNumId w:val="2"/>
  </w:num>
  <w:num w:numId="4" w16cid:durableId="54691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2E"/>
    <w:rsid w:val="000A404F"/>
    <w:rsid w:val="001A2710"/>
    <w:rsid w:val="002045F0"/>
    <w:rsid w:val="003B0CE1"/>
    <w:rsid w:val="004D4624"/>
    <w:rsid w:val="004D7361"/>
    <w:rsid w:val="00803EB8"/>
    <w:rsid w:val="0092532E"/>
    <w:rsid w:val="009325F6"/>
    <w:rsid w:val="00AF7C81"/>
    <w:rsid w:val="00B301FB"/>
    <w:rsid w:val="00B60C7E"/>
    <w:rsid w:val="00CA565E"/>
    <w:rsid w:val="00EE716B"/>
    <w:rsid w:val="00F21061"/>
    <w:rsid w:val="00F5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6EC5"/>
  <w15:docId w15:val="{895F5DBA-83DD-45BC-A5C9-0BB44DDC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rtfH7JFBGtn/fkWjGIz0qbVm3A==">CgMxLjA4AHIhMWJLbXZTRGRSZ0x1M3QxZ1Vja2g5eWtfTGhCQmprZmdm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Concyr Formiga Bernardes</dc:creator>
  <cp:lastModifiedBy>Concyr Formiga Bernardes</cp:lastModifiedBy>
  <cp:revision>2</cp:revision>
  <dcterms:created xsi:type="dcterms:W3CDTF">2024-01-02T13:03:00Z</dcterms:created>
  <dcterms:modified xsi:type="dcterms:W3CDTF">2024-01-02T13:03:00Z</dcterms:modified>
</cp:coreProperties>
</file>